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BDA" w:rsidRDefault="00C154CA">
      <w:r>
        <w:t>Soovi korral on Tähe 127a üürile antav äripind võimalik jagada ka kaheks väiksemaks eraldi äripinnaks, mille suurused on siis ca 1</w:t>
      </w:r>
      <w:bookmarkStart w:id="0" w:name="_GoBack"/>
      <w:bookmarkEnd w:id="0"/>
      <w:r>
        <w:t xml:space="preserve">12 m² ja ca 224 m².   </w:t>
      </w:r>
    </w:p>
    <w:sectPr w:rsidR="005F5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CA"/>
    <w:rsid w:val="001E47FB"/>
    <w:rsid w:val="005F5BDA"/>
    <w:rsid w:val="00C154CA"/>
    <w:rsid w:val="00FF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70871-8F79-4C0E-B0F7-72104A3B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Valmar</dc:creator>
  <cp:keywords/>
  <dc:description/>
  <cp:lastModifiedBy>Valmar</cp:lastModifiedBy>
  <cp:revision>2</cp:revision>
  <dcterms:created xsi:type="dcterms:W3CDTF">2016-02-17T07:23:00Z</dcterms:created>
  <dcterms:modified xsi:type="dcterms:W3CDTF">2016-02-17T07:32:00Z</dcterms:modified>
</cp:coreProperties>
</file>